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6218" w14:textId="77777777" w:rsidR="00CB1911" w:rsidRDefault="00CB1911" w:rsidP="00CB1911">
      <w:r w:rsidRPr="00CB1911">
        <w:rPr>
          <w:rFonts w:hint="cs"/>
          <w:noProof/>
          <w:lang w:bidi="fa-IR"/>
        </w:rPr>
        <w:drawing>
          <wp:inline distT="0" distB="0" distL="0" distR="0" wp14:anchorId="546543DC" wp14:editId="4BE93905">
            <wp:extent cx="5943600" cy="812435"/>
            <wp:effectExtent l="0" t="0" r="0" b="6985"/>
            <wp:docPr id="1" name="Picture 1" descr="https://ibb.ut.ac.ir/documents/381694/0/EN-LOGO-1.png?t=148515928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bb.ut.ac.ir/documents/381694/0/EN-LOGO-1.png?t=14851592824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0F42" w14:textId="77777777" w:rsidR="00CB1911" w:rsidRDefault="00CB1911" w:rsidP="00CB1911"/>
    <w:p w14:paraId="679016F7" w14:textId="745E9C3B" w:rsidR="004C39F8" w:rsidRDefault="00CB1911" w:rsidP="003C692C">
      <w:pPr>
        <w:tabs>
          <w:tab w:val="left" w:pos="3744"/>
        </w:tabs>
        <w:rPr>
          <w:b/>
          <w:bCs/>
        </w:rPr>
      </w:pPr>
      <w:r w:rsidRPr="00CB1911">
        <w:rPr>
          <w:b/>
          <w:bCs/>
        </w:rPr>
        <w:t xml:space="preserve">Seminar </w:t>
      </w:r>
      <w:r w:rsidR="003C692C">
        <w:rPr>
          <w:b/>
          <w:bCs/>
        </w:rPr>
        <w:t>1</w:t>
      </w:r>
      <w:r w:rsidR="005E2DF5">
        <w:rPr>
          <w:b/>
          <w:bCs/>
        </w:rPr>
        <w:t xml:space="preserve"> </w:t>
      </w:r>
    </w:p>
    <w:p w14:paraId="1DCDE038" w14:textId="77777777" w:rsidR="00CB1911" w:rsidRDefault="00CB1911" w:rsidP="00CB1911">
      <w:pPr>
        <w:tabs>
          <w:tab w:val="left" w:pos="3744"/>
        </w:tabs>
        <w:rPr>
          <w:b/>
          <w:bCs/>
        </w:rPr>
      </w:pPr>
    </w:p>
    <w:p w14:paraId="2584EC6C" w14:textId="5B0327BB" w:rsidR="00500AB3" w:rsidRPr="00F00082" w:rsidRDefault="00500AB3" w:rsidP="00500AB3">
      <w:pPr>
        <w:tabs>
          <w:tab w:val="left" w:pos="3744"/>
        </w:tabs>
        <w:jc w:val="center"/>
        <w:rPr>
          <w:b/>
          <w:bCs/>
          <w:color w:val="000000" w:themeColor="text1"/>
          <w:sz w:val="36"/>
          <w:szCs w:val="36"/>
        </w:rPr>
      </w:pPr>
      <w:r w:rsidRPr="00F00082">
        <w:rPr>
          <w:b/>
          <w:bCs/>
          <w:color w:val="000000" w:themeColor="text1"/>
          <w:sz w:val="36"/>
          <w:szCs w:val="36"/>
        </w:rPr>
        <w:t>Regulation of different isoform production of</w:t>
      </w:r>
    </w:p>
    <w:p w14:paraId="776EBF3A" w14:textId="77777777" w:rsidR="00500AB3" w:rsidRPr="00F00082" w:rsidRDefault="00500AB3" w:rsidP="00500AB3">
      <w:pPr>
        <w:tabs>
          <w:tab w:val="left" w:pos="3744"/>
        </w:tabs>
        <w:jc w:val="center"/>
        <w:rPr>
          <w:b/>
          <w:bCs/>
          <w:color w:val="000000" w:themeColor="text1"/>
          <w:sz w:val="36"/>
          <w:szCs w:val="36"/>
        </w:rPr>
      </w:pPr>
      <w:r w:rsidRPr="00F00082">
        <w:rPr>
          <w:b/>
          <w:bCs/>
          <w:color w:val="000000" w:themeColor="text1"/>
          <w:sz w:val="36"/>
          <w:szCs w:val="36"/>
        </w:rPr>
        <w:t>tau protein in Alzheimer’s disease</w:t>
      </w:r>
    </w:p>
    <w:p w14:paraId="7A171071" w14:textId="41FE83AE" w:rsidR="00500AB3" w:rsidRPr="00E745E9" w:rsidRDefault="00500AB3" w:rsidP="00500AB3">
      <w:pPr>
        <w:tabs>
          <w:tab w:val="left" w:pos="3744"/>
        </w:tabs>
        <w:rPr>
          <w:b/>
          <w:bCs/>
          <w:color w:val="000000" w:themeColor="text1"/>
          <w:sz w:val="32"/>
          <w:szCs w:val="32"/>
        </w:rPr>
      </w:pPr>
      <w:r w:rsidRPr="00E745E9">
        <w:rPr>
          <w:b/>
          <w:bCs/>
          <w:color w:val="000000" w:themeColor="text1"/>
          <w:sz w:val="32"/>
          <w:szCs w:val="32"/>
        </w:rPr>
        <w:t>Zahra Eynizadeh</w:t>
      </w:r>
    </w:p>
    <w:p w14:paraId="5C8E0219" w14:textId="777E1B60" w:rsidR="00CB1911" w:rsidRPr="00E745E9" w:rsidRDefault="00500AB3" w:rsidP="00500AB3">
      <w:pPr>
        <w:tabs>
          <w:tab w:val="left" w:pos="3744"/>
        </w:tabs>
        <w:rPr>
          <w:color w:val="000000" w:themeColor="text1"/>
          <w:sz w:val="28"/>
          <w:szCs w:val="28"/>
          <w:vertAlign w:val="superscript"/>
        </w:rPr>
      </w:pPr>
      <w:r w:rsidRPr="00E745E9">
        <w:rPr>
          <w:color w:val="000000" w:themeColor="text1"/>
          <w:sz w:val="28"/>
          <w:szCs w:val="28"/>
          <w:vertAlign w:val="superscript"/>
        </w:rPr>
        <w:t xml:space="preserve">Department of </w:t>
      </w:r>
      <w:bookmarkStart w:id="0" w:name="_Hlk133745044"/>
      <w:r w:rsidRPr="00E745E9">
        <w:rPr>
          <w:color w:val="000000" w:themeColor="text1"/>
          <w:sz w:val="28"/>
          <w:szCs w:val="28"/>
          <w:vertAlign w:val="superscript"/>
        </w:rPr>
        <w:t>Biochemistry</w:t>
      </w:r>
      <w:bookmarkEnd w:id="0"/>
      <w:r w:rsidRPr="00E745E9">
        <w:rPr>
          <w:color w:val="000000" w:themeColor="text1"/>
          <w:sz w:val="28"/>
          <w:szCs w:val="28"/>
          <w:vertAlign w:val="superscript"/>
        </w:rPr>
        <w:t>, Institute of Biochemistry and Biophysics, University of Tehran.</w:t>
      </w:r>
    </w:p>
    <w:p w14:paraId="4EF357A4" w14:textId="77777777" w:rsidR="002D52CB" w:rsidRPr="00E745E9" w:rsidRDefault="002D52CB" w:rsidP="002D52CB">
      <w:pPr>
        <w:tabs>
          <w:tab w:val="left" w:pos="3744"/>
        </w:tabs>
        <w:rPr>
          <w:b/>
          <w:bCs/>
          <w:color w:val="000000" w:themeColor="text1"/>
          <w:sz w:val="28"/>
          <w:szCs w:val="28"/>
          <w:vertAlign w:val="superscript"/>
        </w:rPr>
      </w:pPr>
    </w:p>
    <w:p w14:paraId="00BA27C5" w14:textId="3289DD65" w:rsidR="00500AB3" w:rsidRPr="00E745E9" w:rsidRDefault="00500AB3" w:rsidP="001E08B4">
      <w:pPr>
        <w:tabs>
          <w:tab w:val="left" w:pos="3744"/>
        </w:tabs>
        <w:jc w:val="both"/>
        <w:rPr>
          <w:b/>
          <w:bCs/>
          <w:color w:val="000000" w:themeColor="text1"/>
          <w:sz w:val="40"/>
          <w:szCs w:val="40"/>
          <w:vertAlign w:val="superscript"/>
          <w:lang w:bidi="fa-IR"/>
        </w:rPr>
      </w:pP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Microtubules (MTs) are essential components of the cytoskeleton in eukaryotic cells and have crucial functions in processes </w:t>
      </w:r>
      <w:r w:rsidR="004673E3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such as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cell division and intracellular transportation. Many proteins interact with </w:t>
      </w:r>
      <w:r w:rsidR="001E08B4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the MT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>s of the cellular cytoskeleton</w:t>
      </w:r>
      <w:r w:rsidR="001E08B4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, with </w:t>
      </w:r>
      <w:r w:rsidR="00DC05A3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t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>au</w:t>
      </w:r>
      <w:r w:rsidR="001E08B4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 being</w:t>
      </w:r>
      <w:r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 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one of </w:t>
      </w:r>
      <w:r w:rsidR="001E08B4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the proteins associated with </w:t>
      </w:r>
      <w:proofErr w:type="spellStart"/>
      <w:r w:rsidR="001E08B4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MTs</w:t>
      </w:r>
      <w:r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.</w:t>
      </w:r>
      <w:proofErr w:type="spellEnd"/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The </w:t>
      </w:r>
      <w:r w:rsidR="001E08B4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abnormal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aggregation of </w:t>
      </w:r>
      <w:bookmarkStart w:id="1" w:name="_Hlk133848298"/>
      <w:r w:rsidRPr="00E745E9">
        <w:rPr>
          <w:b/>
          <w:bCs/>
          <w:color w:val="000000" w:themeColor="text1"/>
          <w:sz w:val="40"/>
          <w:szCs w:val="40"/>
          <w:vertAlign w:val="superscript"/>
        </w:rPr>
        <w:t>hyperphosphorylated tau</w:t>
      </w:r>
      <w:bookmarkEnd w:id="1"/>
      <w:r w:rsidR="001E08B4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,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which </w:t>
      </w:r>
      <w:r w:rsidR="001E08B4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results in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neurofibrillary tangles (NFTs) and finally </w:t>
      </w:r>
      <w:r w:rsidR="004D5289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the death of neurons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, is one of the pathological hallmarks of the most </w:t>
      </w:r>
      <w:r w:rsidR="00E27B3C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prevalent type of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neurodegenerative d</w:t>
      </w:r>
      <w:r w:rsidR="00C744D1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isorders being 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Alzheimer’s disease (AD).  At the molecular </w:t>
      </w:r>
      <w:r w:rsidR="00192F75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level,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</w:t>
      </w:r>
      <w:r w:rsidR="00D00739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transcripts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</w:t>
      </w:r>
      <w:r w:rsidR="0063007C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related to the tau 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>gene on chromosome 17</w:t>
      </w:r>
      <w:r w:rsidR="0063007C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, which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</w:t>
      </w:r>
      <w:r w:rsidR="0063007C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encounters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</w:t>
      </w:r>
      <w:r w:rsidR="0063007C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a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complex regulated splicing in the mammalian nervous system, </w:t>
      </w:r>
      <w:r w:rsidR="00FD1013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results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in the expression of human </w:t>
      </w:r>
      <w:r w:rsidR="00FD1013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t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>au in six different isoforms or mis-spliced versions that may be more susceptible to hyperphosphorylation and subsequent aggregation into NFTs.</w:t>
      </w:r>
      <w:r w:rsidR="00FD1013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 T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o date, studies </w:t>
      </w:r>
      <w:r w:rsidR="00FD1013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using 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molecular methods like RT-PCR, Western blotting and RNA-Seq analysis, have shown that Alternative Splicing (AS) is involved in the gene expression reprogramming 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lastRenderedPageBreak/>
        <w:t xml:space="preserve">associated with the functional changes observed in AD patients. </w:t>
      </w:r>
      <w:r w:rsidR="00DE7FF2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More s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pecifically, splicing abnormalities in AD tissues are associated with mutations in </w:t>
      </w:r>
      <w:bookmarkStart w:id="2" w:name="_Hlk133848174"/>
      <w:r w:rsidRPr="00E745E9">
        <w:rPr>
          <w:b/>
          <w:bCs/>
          <w:color w:val="000000" w:themeColor="text1"/>
          <w:sz w:val="40"/>
          <w:szCs w:val="40"/>
          <w:vertAlign w:val="superscript"/>
        </w:rPr>
        <w:t>cis-acting regulatory sequences</w:t>
      </w:r>
      <w:bookmarkEnd w:id="2"/>
      <w:r w:rsidRPr="00E745E9">
        <w:rPr>
          <w:b/>
          <w:bCs/>
          <w:color w:val="000000" w:themeColor="text1"/>
          <w:sz w:val="40"/>
          <w:szCs w:val="40"/>
          <w:vertAlign w:val="superscript"/>
        </w:rPr>
        <w:t>, alterations in the activity and sub-cellular localization of trans-acting splicing factors, and components of the spliceosome machinery, which may affect the onset and progression of the disease. The recognition of AS deregulation as a common feature of AD may help answer many questions, such as identifying genetic variants that affect specific splicing events associated with AD</w:t>
      </w:r>
      <w:r w:rsidR="00DE7FF2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,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to </w:t>
      </w:r>
      <w:r w:rsidR="00DE7FF2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identify 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individuals at higher risk of developing the disease </w:t>
      </w:r>
      <w:r w:rsidR="000B2B38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and </w:t>
      </w:r>
      <w:r w:rsidR="00254D44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allow those who do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periodic brain imaging analyses </w:t>
      </w:r>
      <w:r w:rsidR="006F5368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>to benefit</w:t>
      </w:r>
      <w:r w:rsidR="00917B04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 from</w:t>
      </w:r>
      <w:r w:rsidRPr="00E745E9">
        <w:rPr>
          <w:b/>
          <w:bCs/>
          <w:color w:val="000000" w:themeColor="text1"/>
          <w:sz w:val="40"/>
          <w:szCs w:val="40"/>
          <w:vertAlign w:val="superscript"/>
        </w:rPr>
        <w:t xml:space="preserve"> </w:t>
      </w:r>
      <w:proofErr w:type="gramStart"/>
      <w:r w:rsidRPr="00E745E9">
        <w:rPr>
          <w:b/>
          <w:bCs/>
          <w:color w:val="000000" w:themeColor="text1"/>
          <w:sz w:val="40"/>
          <w:szCs w:val="40"/>
          <w:vertAlign w:val="superscript"/>
        </w:rPr>
        <w:t>early stage</w:t>
      </w:r>
      <w:proofErr w:type="gramEnd"/>
      <w:r w:rsidR="00F14781" w:rsidRPr="00E745E9">
        <w:rPr>
          <w:rFonts w:hint="cs"/>
          <w:b/>
          <w:bCs/>
          <w:color w:val="000000" w:themeColor="text1"/>
          <w:sz w:val="40"/>
          <w:szCs w:val="40"/>
          <w:vertAlign w:val="superscript"/>
          <w:lang w:bidi="fa-IR"/>
        </w:rPr>
        <w:t xml:space="preserve"> AD </w:t>
      </w:r>
      <w:r w:rsidR="00E745E9" w:rsidRPr="00E745E9">
        <w:rPr>
          <w:b/>
          <w:bCs/>
          <w:color w:val="000000" w:themeColor="text1"/>
          <w:sz w:val="40"/>
          <w:szCs w:val="40"/>
          <w:vertAlign w:val="superscript"/>
          <w:lang w:bidi="fa-IR"/>
        </w:rPr>
        <w:t>detection.</w:t>
      </w:r>
    </w:p>
    <w:p w14:paraId="3201F6FC" w14:textId="77777777" w:rsidR="005E2DF5" w:rsidRPr="00E745E9" w:rsidRDefault="005E2DF5" w:rsidP="00FC66E2">
      <w:pPr>
        <w:tabs>
          <w:tab w:val="left" w:pos="3744"/>
        </w:tabs>
        <w:rPr>
          <w:rStyle w:val="fontstyle01"/>
          <w:color w:val="000000" w:themeColor="text1"/>
        </w:rPr>
      </w:pPr>
    </w:p>
    <w:p w14:paraId="1D366B87" w14:textId="57836C9C" w:rsidR="00500AB3" w:rsidRPr="00E745E9" w:rsidRDefault="002D52CB" w:rsidP="00500AB3">
      <w:pPr>
        <w:tabs>
          <w:tab w:val="left" w:pos="3744"/>
        </w:tabs>
        <w:rPr>
          <w:rFonts w:ascii="Calibri" w:hAnsi="Calibri" w:cs="Calibri"/>
          <w:color w:val="000000" w:themeColor="text1"/>
        </w:rPr>
      </w:pPr>
      <w:r w:rsidRPr="00E745E9">
        <w:rPr>
          <w:rFonts w:ascii="Calibri" w:hAnsi="Calibri" w:cs="Calibri"/>
          <w:color w:val="000000" w:themeColor="text1"/>
        </w:rPr>
        <w:br/>
      </w:r>
      <w:r w:rsidRPr="00E745E9">
        <w:rPr>
          <w:rStyle w:val="fontstyle31"/>
          <w:color w:val="000000" w:themeColor="text1"/>
        </w:rPr>
        <w:t>Keywords</w:t>
      </w:r>
      <w:r w:rsidRPr="00E745E9">
        <w:rPr>
          <w:rStyle w:val="fontstyle01"/>
          <w:color w:val="000000" w:themeColor="text1"/>
        </w:rPr>
        <w:t xml:space="preserve">: </w:t>
      </w:r>
      <w:r w:rsidR="00E745E9" w:rsidRPr="00E745E9">
        <w:rPr>
          <w:rFonts w:ascii="Calibri" w:hAnsi="Calibri" w:cs="Calibri"/>
          <w:color w:val="000000" w:themeColor="text1"/>
        </w:rPr>
        <w:t>hyperphosphorylated tau</w:t>
      </w:r>
      <w:r w:rsidR="00500AB3" w:rsidRPr="00E745E9">
        <w:rPr>
          <w:rFonts w:ascii="Calibri" w:hAnsi="Calibri" w:cs="Calibri"/>
          <w:color w:val="000000" w:themeColor="text1"/>
        </w:rPr>
        <w:t xml:space="preserve">, Alternative splicing, </w:t>
      </w:r>
      <w:r w:rsidR="004F4B6A" w:rsidRPr="00E745E9">
        <w:rPr>
          <w:rFonts w:ascii="Calibri" w:hAnsi="Calibri" w:cs="Calibri"/>
          <w:color w:val="000000" w:themeColor="text1"/>
        </w:rPr>
        <w:t>T</w:t>
      </w:r>
      <w:r w:rsidR="00500AB3" w:rsidRPr="00E745E9">
        <w:rPr>
          <w:rFonts w:ascii="Calibri" w:hAnsi="Calibri" w:cs="Calibri"/>
          <w:color w:val="000000" w:themeColor="text1"/>
        </w:rPr>
        <w:t xml:space="preserve">au isoforms, </w:t>
      </w:r>
      <w:r w:rsidR="00E745E9" w:rsidRPr="00E745E9">
        <w:rPr>
          <w:rFonts w:ascii="Calibri" w:hAnsi="Calibri" w:cs="Calibri"/>
          <w:color w:val="000000" w:themeColor="text1"/>
        </w:rPr>
        <w:t>cis-acting regulatory</w:t>
      </w:r>
      <w:r w:rsidR="00E745E9">
        <w:rPr>
          <w:rFonts w:ascii="Calibri" w:hAnsi="Calibri" w:cs="Calibri"/>
          <w:color w:val="000000" w:themeColor="text1"/>
        </w:rPr>
        <w:t xml:space="preserve"> </w:t>
      </w:r>
      <w:r w:rsidR="00E745E9" w:rsidRPr="00E745E9">
        <w:rPr>
          <w:rFonts w:ascii="Calibri" w:hAnsi="Calibri" w:cs="Calibri"/>
          <w:color w:val="000000" w:themeColor="text1"/>
        </w:rPr>
        <w:t>sequences</w:t>
      </w:r>
      <w:r w:rsidR="00E745E9" w:rsidRPr="00E745E9">
        <w:rPr>
          <w:rFonts w:ascii="Calibri" w:hAnsi="Calibri" w:cs="Calibri"/>
          <w:color w:val="000000" w:themeColor="text1"/>
        </w:rPr>
        <w:t xml:space="preserve">, </w:t>
      </w:r>
      <w:r w:rsidR="004F4B6A" w:rsidRPr="00E745E9">
        <w:rPr>
          <w:color w:val="000000" w:themeColor="text1"/>
        </w:rPr>
        <w:t>Tau mis-splicing.</w:t>
      </w:r>
    </w:p>
    <w:p w14:paraId="3F178098" w14:textId="77777777" w:rsidR="00CB1911" w:rsidRDefault="00CB1911" w:rsidP="00CB1911">
      <w:pPr>
        <w:tabs>
          <w:tab w:val="left" w:pos="3744"/>
        </w:tabs>
        <w:rPr>
          <w:sz w:val="28"/>
          <w:szCs w:val="28"/>
          <w:vertAlign w:val="superscript"/>
        </w:rPr>
      </w:pPr>
    </w:p>
    <w:p w14:paraId="03AD2B07" w14:textId="77777777" w:rsidR="00CB1911" w:rsidRDefault="00CB1911" w:rsidP="00CB1911">
      <w:pPr>
        <w:tabs>
          <w:tab w:val="left" w:pos="3744"/>
        </w:tabs>
        <w:rPr>
          <w:sz w:val="28"/>
          <w:szCs w:val="28"/>
          <w:vertAlign w:val="superscript"/>
        </w:rPr>
      </w:pPr>
    </w:p>
    <w:p w14:paraId="25585CEC" w14:textId="77777777" w:rsidR="00CB1911" w:rsidRDefault="00CB1911" w:rsidP="00CB1911">
      <w:pPr>
        <w:tabs>
          <w:tab w:val="left" w:pos="3744"/>
        </w:tabs>
        <w:rPr>
          <w:sz w:val="28"/>
          <w:szCs w:val="28"/>
          <w:vertAlign w:val="superscript"/>
        </w:rPr>
      </w:pPr>
    </w:p>
    <w:p w14:paraId="49F1981C" w14:textId="1B4A493B" w:rsidR="00CB1911" w:rsidRPr="00CB1911" w:rsidRDefault="00CB1911" w:rsidP="00CB1911">
      <w:pPr>
        <w:tabs>
          <w:tab w:val="left" w:pos="3744"/>
        </w:tabs>
        <w:rPr>
          <w:sz w:val="28"/>
          <w:szCs w:val="28"/>
          <w:vertAlign w:val="superscript"/>
        </w:rPr>
      </w:pPr>
    </w:p>
    <w:sectPr w:rsidR="00CB1911" w:rsidRPr="00CB1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B68"/>
    <w:multiLevelType w:val="hybridMultilevel"/>
    <w:tmpl w:val="4EB27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051"/>
    <w:multiLevelType w:val="hybridMultilevel"/>
    <w:tmpl w:val="F16E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1123">
    <w:abstractNumId w:val="0"/>
  </w:num>
  <w:num w:numId="2" w16cid:durableId="170972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2sDQ3NzUzMbU0MrFU0lEKTi0uzszPAykwrAUAnkCcvywAAAA="/>
  </w:docVars>
  <w:rsids>
    <w:rsidRoot w:val="00CB1911"/>
    <w:rsid w:val="000B2B38"/>
    <w:rsid w:val="00192F75"/>
    <w:rsid w:val="001E08B4"/>
    <w:rsid w:val="001E27DE"/>
    <w:rsid w:val="00254D44"/>
    <w:rsid w:val="002D52CB"/>
    <w:rsid w:val="003C06DA"/>
    <w:rsid w:val="003C692C"/>
    <w:rsid w:val="004673E3"/>
    <w:rsid w:val="004C39F8"/>
    <w:rsid w:val="004D5289"/>
    <w:rsid w:val="004F4B6A"/>
    <w:rsid w:val="00500AB3"/>
    <w:rsid w:val="005223B4"/>
    <w:rsid w:val="005E2DF5"/>
    <w:rsid w:val="005F2247"/>
    <w:rsid w:val="0063007C"/>
    <w:rsid w:val="00635313"/>
    <w:rsid w:val="006F5368"/>
    <w:rsid w:val="00917B04"/>
    <w:rsid w:val="00AD7F16"/>
    <w:rsid w:val="00C744D1"/>
    <w:rsid w:val="00C96BEC"/>
    <w:rsid w:val="00CB1911"/>
    <w:rsid w:val="00D00739"/>
    <w:rsid w:val="00D17114"/>
    <w:rsid w:val="00D824D7"/>
    <w:rsid w:val="00DC05A3"/>
    <w:rsid w:val="00DE7FF2"/>
    <w:rsid w:val="00E27B3C"/>
    <w:rsid w:val="00E745E9"/>
    <w:rsid w:val="00E839EC"/>
    <w:rsid w:val="00EE0612"/>
    <w:rsid w:val="00EF20B3"/>
    <w:rsid w:val="00F00082"/>
    <w:rsid w:val="00F14781"/>
    <w:rsid w:val="00FC66E2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4741"/>
  <w15:chartTrackingRefBased/>
  <w15:docId w15:val="{7CC8D051-D79A-4786-9799-D37BE46A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1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9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911"/>
    <w:pPr>
      <w:ind w:left="720"/>
      <w:contextualSpacing/>
    </w:pPr>
  </w:style>
  <w:style w:type="character" w:customStyle="1" w:styleId="fontstyle01">
    <w:name w:val="fontstyle01"/>
    <w:basedOn w:val="DefaultParagraphFont"/>
    <w:rsid w:val="002D52C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D52C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D52CB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00A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Zahra Eynizadeh</cp:lastModifiedBy>
  <cp:revision>2</cp:revision>
  <dcterms:created xsi:type="dcterms:W3CDTF">2023-05-01T11:16:00Z</dcterms:created>
  <dcterms:modified xsi:type="dcterms:W3CDTF">2023-05-01T11:16:00Z</dcterms:modified>
</cp:coreProperties>
</file>