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911" w:rsidRDefault="00CB1911" w:rsidP="00CB1911">
      <w:r w:rsidRPr="00CB1911">
        <w:rPr>
          <w:rFonts w:hint="cs"/>
          <w:noProof/>
          <w:lang w:bidi="fa-IR"/>
        </w:rPr>
        <w:drawing>
          <wp:inline distT="0" distB="0" distL="0" distR="0" wp14:anchorId="5C7AABDB" wp14:editId="691FE778">
            <wp:extent cx="5943600" cy="812435"/>
            <wp:effectExtent l="0" t="0" r="0" b="6985"/>
            <wp:docPr id="1" name="Picture 1" descr="https://ibb.ut.ac.ir/documents/381694/0/EN-LOGO-1.png?t=148515928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b.ut.ac.ir/documents/381694/0/EN-LOGO-1.png?t=14851592824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2435"/>
                    </a:xfrm>
                    <a:prstGeom prst="rect">
                      <a:avLst/>
                    </a:prstGeom>
                    <a:noFill/>
                    <a:ln>
                      <a:noFill/>
                    </a:ln>
                  </pic:spPr>
                </pic:pic>
              </a:graphicData>
            </a:graphic>
          </wp:inline>
        </w:drawing>
      </w:r>
    </w:p>
    <w:p w:rsidR="00CB1911" w:rsidRDefault="00CB1911" w:rsidP="00CB1911"/>
    <w:p w:rsidR="00CB1911" w:rsidRDefault="00CB1911" w:rsidP="003247D6">
      <w:pPr>
        <w:tabs>
          <w:tab w:val="left" w:pos="3744"/>
        </w:tabs>
        <w:rPr>
          <w:b/>
          <w:bCs/>
        </w:rPr>
      </w:pPr>
      <w:r w:rsidRPr="00CB1911">
        <w:rPr>
          <w:b/>
          <w:bCs/>
        </w:rPr>
        <w:t>Seminar</w:t>
      </w:r>
      <w:r w:rsidR="005E2DF5">
        <w:rPr>
          <w:b/>
          <w:bCs/>
        </w:rPr>
        <w:t xml:space="preserve"> </w:t>
      </w:r>
      <w:r w:rsidR="003C692C">
        <w:rPr>
          <w:b/>
          <w:bCs/>
        </w:rPr>
        <w:t>2</w:t>
      </w:r>
    </w:p>
    <w:p w:rsidR="008801B8" w:rsidRPr="008801B8" w:rsidRDefault="008801B8" w:rsidP="008801B8">
      <w:pPr>
        <w:tabs>
          <w:tab w:val="left" w:pos="3744"/>
        </w:tabs>
        <w:jc w:val="center"/>
        <w:rPr>
          <w:b/>
          <w:bCs/>
          <w:sz w:val="44"/>
          <w:szCs w:val="44"/>
        </w:rPr>
      </w:pPr>
      <w:r w:rsidRPr="008801B8">
        <w:rPr>
          <w:rFonts w:asciiTheme="majorBidi" w:hAnsiTheme="majorBidi" w:cs="B Zar"/>
          <w:kern w:val="2"/>
          <w:sz w:val="24"/>
          <w:szCs w:val="24"/>
          <w14:ligatures w14:val="standardContextual"/>
        </w:rPr>
        <w:t xml:space="preserve"> </w:t>
      </w:r>
      <w:r w:rsidRPr="008801B8">
        <w:rPr>
          <w:b/>
          <w:bCs/>
          <w:sz w:val="44"/>
          <w:szCs w:val="44"/>
        </w:rPr>
        <w:t>The impact of fusion tags on improving recombinant protein production</w:t>
      </w:r>
    </w:p>
    <w:p w:rsidR="005E2DF5" w:rsidRDefault="005E2DF5" w:rsidP="005E2DF5">
      <w:pPr>
        <w:tabs>
          <w:tab w:val="left" w:pos="3744"/>
        </w:tabs>
        <w:jc w:val="center"/>
        <w:rPr>
          <w:b/>
          <w:bCs/>
          <w:sz w:val="44"/>
          <w:szCs w:val="44"/>
        </w:rPr>
      </w:pPr>
    </w:p>
    <w:p w:rsidR="005E2DF5" w:rsidRPr="0012038A" w:rsidRDefault="008801B8" w:rsidP="005E2DF5">
      <w:pPr>
        <w:tabs>
          <w:tab w:val="left" w:pos="3744"/>
        </w:tabs>
        <w:rPr>
          <w:sz w:val="36"/>
          <w:szCs w:val="36"/>
        </w:rPr>
      </w:pPr>
      <w:r w:rsidRPr="0012038A">
        <w:rPr>
          <w:sz w:val="36"/>
          <w:szCs w:val="36"/>
        </w:rPr>
        <w:t xml:space="preserve">Sarvenaz Moradi </w:t>
      </w:r>
    </w:p>
    <w:p w:rsidR="00CB1911" w:rsidRPr="002D52CB" w:rsidRDefault="00BE08A4" w:rsidP="005E2DF5">
      <w:pPr>
        <w:tabs>
          <w:tab w:val="left" w:pos="3744"/>
        </w:tabs>
        <w:rPr>
          <w:sz w:val="28"/>
          <w:szCs w:val="28"/>
          <w:vertAlign w:val="superscript"/>
        </w:rPr>
      </w:pPr>
      <w:r>
        <w:rPr>
          <w:rFonts w:hint="cs"/>
          <w:sz w:val="28"/>
          <w:szCs w:val="28"/>
          <w:vertAlign w:val="superscript"/>
          <w:lang w:bidi="fa-IR"/>
        </w:rPr>
        <w:t>Institute of Biochemistry and Biophysics, University of Tehran , Tehran, Iran</w:t>
      </w:r>
    </w:p>
    <w:p w:rsidR="003247D6" w:rsidRPr="003247D6" w:rsidRDefault="003247D6" w:rsidP="003247D6">
      <w:pPr>
        <w:tabs>
          <w:tab w:val="left" w:pos="3744"/>
        </w:tabs>
        <w:jc w:val="both"/>
        <w:rPr>
          <w:b/>
          <w:bCs/>
          <w:sz w:val="28"/>
          <w:szCs w:val="28"/>
          <w:vertAlign w:val="superscript"/>
        </w:rPr>
      </w:pPr>
      <w:r w:rsidRPr="003247D6">
        <w:rPr>
          <w:b/>
          <w:bCs/>
          <w:sz w:val="28"/>
          <w:szCs w:val="28"/>
          <w:vertAlign w:val="superscript"/>
        </w:rPr>
        <w:t xml:space="preserve">Fusion tags are protein </w:t>
      </w:r>
      <w:r w:rsidR="0001774E">
        <w:rPr>
          <w:rFonts w:hint="cs"/>
          <w:b/>
          <w:bCs/>
          <w:sz w:val="28"/>
          <w:szCs w:val="28"/>
          <w:vertAlign w:val="superscript"/>
          <w:lang w:bidi="fa-IR"/>
        </w:rPr>
        <w:t>or</w:t>
      </w:r>
      <w:r w:rsidRPr="003247D6">
        <w:rPr>
          <w:b/>
          <w:bCs/>
          <w:sz w:val="28"/>
          <w:szCs w:val="28"/>
          <w:vertAlign w:val="superscript"/>
        </w:rPr>
        <w:t xml:space="preserve"> peptide sequences </w:t>
      </w:r>
      <w:r w:rsidR="0001774E">
        <w:rPr>
          <w:rFonts w:hint="cs"/>
          <w:b/>
          <w:bCs/>
          <w:sz w:val="28"/>
          <w:szCs w:val="28"/>
          <w:vertAlign w:val="superscript"/>
          <w:lang w:bidi="fa-IR"/>
        </w:rPr>
        <w:t xml:space="preserve">that </w:t>
      </w:r>
      <w:r w:rsidRPr="003247D6">
        <w:rPr>
          <w:b/>
          <w:bCs/>
          <w:sz w:val="28"/>
          <w:szCs w:val="28"/>
          <w:vertAlign w:val="superscript"/>
        </w:rPr>
        <w:t>can be used to improve protein expression levels or enhanc</w:t>
      </w:r>
      <w:r w:rsidR="0001774E">
        <w:rPr>
          <w:rFonts w:hint="cs"/>
          <w:b/>
          <w:bCs/>
          <w:sz w:val="28"/>
          <w:szCs w:val="28"/>
          <w:vertAlign w:val="superscript"/>
          <w:lang w:bidi="fa-IR"/>
        </w:rPr>
        <w:t xml:space="preserve">e </w:t>
      </w:r>
      <w:r w:rsidRPr="003247D6">
        <w:rPr>
          <w:b/>
          <w:bCs/>
          <w:sz w:val="28"/>
          <w:szCs w:val="28"/>
          <w:vertAlign w:val="superscript"/>
        </w:rPr>
        <w:t xml:space="preserve">the protein solubility. The focus of this seminar is to briefly introduce some of the common tags that are used for improving the production of proteins, and highlight the advantages and disadvantage of their use. A variety of tags have been used as fusion motifs, including maltose-binding protein (MBP), glutathione S-transferase (GST), thioredoxin (TRX), NUS-A, and SUMO. </w:t>
      </w:r>
    </w:p>
    <w:p w:rsidR="003247D6" w:rsidRPr="003247D6" w:rsidRDefault="003247D6" w:rsidP="003247D6">
      <w:pPr>
        <w:tabs>
          <w:tab w:val="left" w:pos="3744"/>
        </w:tabs>
        <w:jc w:val="both"/>
        <w:rPr>
          <w:b/>
          <w:bCs/>
          <w:sz w:val="28"/>
          <w:szCs w:val="28"/>
          <w:vertAlign w:val="superscript"/>
        </w:rPr>
      </w:pPr>
      <w:r w:rsidRPr="003247D6">
        <w:rPr>
          <w:b/>
          <w:bCs/>
          <w:sz w:val="28"/>
          <w:szCs w:val="28"/>
          <w:vertAlign w:val="superscript"/>
        </w:rPr>
        <w:t>For instance, MBP is one of the most frequently used fusion tags to enhance the solubility of the expressed protein. MBP acts as a molecular chaperone to aid the accurate folding of a fusion protein. Another tag, SUMO enhance</w:t>
      </w:r>
      <w:r w:rsidR="006336C5">
        <w:rPr>
          <w:rFonts w:hint="cs"/>
          <w:b/>
          <w:bCs/>
          <w:sz w:val="28"/>
          <w:szCs w:val="28"/>
          <w:vertAlign w:val="superscript"/>
          <w:lang w:bidi="fa-IR"/>
        </w:rPr>
        <w:t>s the</w:t>
      </w:r>
      <w:r w:rsidRPr="003247D6">
        <w:rPr>
          <w:b/>
          <w:bCs/>
          <w:sz w:val="28"/>
          <w:szCs w:val="28"/>
          <w:vertAlign w:val="superscript"/>
        </w:rPr>
        <w:t xml:space="preserve"> expression and solubility of fused protein. Direct fusion of the recombinant protein to the C terminus of SUMO results in the production of protein with the desired N-terminal amino acid</w:t>
      </w:r>
      <w:r w:rsidR="000F470A">
        <w:rPr>
          <w:rFonts w:hint="cs"/>
          <w:b/>
          <w:bCs/>
          <w:sz w:val="28"/>
          <w:szCs w:val="28"/>
          <w:vertAlign w:val="superscript"/>
          <w:lang w:bidi="fa-IR"/>
        </w:rPr>
        <w:t xml:space="preserve"> sequence</w:t>
      </w:r>
      <w:r w:rsidRPr="003247D6">
        <w:rPr>
          <w:b/>
          <w:bCs/>
          <w:sz w:val="28"/>
          <w:szCs w:val="28"/>
          <w:vertAlign w:val="superscript"/>
        </w:rPr>
        <w:t xml:space="preserve">. The SUMO protease recognizes the tertiary structure of SUMO, and </w:t>
      </w:r>
      <w:r w:rsidR="000F470A">
        <w:rPr>
          <w:rFonts w:hint="cs"/>
          <w:b/>
          <w:bCs/>
          <w:sz w:val="28"/>
          <w:szCs w:val="28"/>
          <w:vertAlign w:val="superscript"/>
          <w:lang w:bidi="fa-IR"/>
        </w:rPr>
        <w:t>cleaves</w:t>
      </w:r>
      <w:r w:rsidRPr="003247D6">
        <w:rPr>
          <w:b/>
          <w:bCs/>
          <w:sz w:val="28"/>
          <w:szCs w:val="28"/>
          <w:vertAlign w:val="superscript"/>
        </w:rPr>
        <w:t xml:space="preserve"> the glycine-glycine motif and </w:t>
      </w:r>
      <w:r w:rsidR="000F470A">
        <w:rPr>
          <w:rFonts w:hint="cs"/>
          <w:b/>
          <w:bCs/>
          <w:sz w:val="28"/>
          <w:szCs w:val="28"/>
          <w:vertAlign w:val="superscript"/>
          <w:lang w:bidi="fa-IR"/>
        </w:rPr>
        <w:t>results</w:t>
      </w:r>
      <w:r w:rsidRPr="003247D6">
        <w:rPr>
          <w:b/>
          <w:bCs/>
          <w:sz w:val="28"/>
          <w:szCs w:val="28"/>
          <w:vertAlign w:val="superscript"/>
        </w:rPr>
        <w:t xml:space="preserve"> in an authentic N-terminal sequence of t</w:t>
      </w:r>
      <w:r w:rsidR="000F470A">
        <w:rPr>
          <w:rFonts w:hint="cs"/>
          <w:b/>
          <w:bCs/>
          <w:sz w:val="28"/>
          <w:szCs w:val="28"/>
          <w:vertAlign w:val="superscript"/>
          <w:lang w:bidi="fa-IR"/>
        </w:rPr>
        <w:t>he t</w:t>
      </w:r>
      <w:r w:rsidRPr="003247D6">
        <w:rPr>
          <w:b/>
          <w:bCs/>
          <w:sz w:val="28"/>
          <w:szCs w:val="28"/>
          <w:vertAlign w:val="superscript"/>
        </w:rPr>
        <w:t>arget protein. The Fh8 is a small antigen (8</w:t>
      </w:r>
      <w:r w:rsidR="000F470A">
        <w:rPr>
          <w:rFonts w:hint="cs"/>
          <w:b/>
          <w:bCs/>
          <w:sz w:val="28"/>
          <w:szCs w:val="28"/>
          <w:vertAlign w:val="superscript"/>
          <w:lang w:bidi="fa-IR"/>
        </w:rPr>
        <w:t xml:space="preserve"> </w:t>
      </w:r>
      <w:r w:rsidRPr="003247D6">
        <w:rPr>
          <w:b/>
          <w:bCs/>
          <w:sz w:val="28"/>
          <w:szCs w:val="28"/>
          <w:vertAlign w:val="superscript"/>
        </w:rPr>
        <w:t>kDa) revealed to be highly soluble</w:t>
      </w:r>
      <w:r w:rsidR="00EA3ED1">
        <w:rPr>
          <w:rFonts w:hint="cs"/>
          <w:b/>
          <w:bCs/>
          <w:sz w:val="28"/>
          <w:szCs w:val="28"/>
          <w:vertAlign w:val="superscript"/>
          <w:lang w:bidi="fa-IR"/>
        </w:rPr>
        <w:t>. It</w:t>
      </w:r>
      <w:r w:rsidRPr="003247D6">
        <w:rPr>
          <w:b/>
          <w:bCs/>
          <w:sz w:val="28"/>
          <w:szCs w:val="28"/>
          <w:vertAlign w:val="superscript"/>
        </w:rPr>
        <w:t xml:space="preserve"> </w:t>
      </w:r>
      <w:r w:rsidR="00EA3ED1">
        <w:rPr>
          <w:rFonts w:hint="cs"/>
          <w:b/>
          <w:bCs/>
          <w:sz w:val="28"/>
          <w:szCs w:val="28"/>
          <w:vertAlign w:val="superscript"/>
          <w:lang w:bidi="fa-IR"/>
        </w:rPr>
        <w:t xml:space="preserve">has an </w:t>
      </w:r>
      <w:r w:rsidRPr="003247D6">
        <w:rPr>
          <w:b/>
          <w:bCs/>
          <w:sz w:val="28"/>
          <w:szCs w:val="28"/>
          <w:vertAlign w:val="superscript"/>
        </w:rPr>
        <w:t>unusual thermal stability</w:t>
      </w:r>
      <w:r w:rsidR="00844B6D">
        <w:rPr>
          <w:rFonts w:hint="cs"/>
          <w:b/>
          <w:bCs/>
          <w:sz w:val="28"/>
          <w:szCs w:val="28"/>
          <w:vertAlign w:val="superscript"/>
          <w:lang w:bidi="fa-IR"/>
        </w:rPr>
        <w:t>,</w:t>
      </w:r>
      <w:r w:rsidRPr="003247D6">
        <w:rPr>
          <w:b/>
          <w:bCs/>
          <w:sz w:val="28"/>
          <w:szCs w:val="28"/>
          <w:vertAlign w:val="superscript"/>
        </w:rPr>
        <w:t xml:space="preserve"> which</w:t>
      </w:r>
      <w:r w:rsidR="00844B6D">
        <w:rPr>
          <w:rFonts w:hint="cs"/>
          <w:b/>
          <w:bCs/>
          <w:sz w:val="28"/>
          <w:szCs w:val="28"/>
          <w:vertAlign w:val="superscript"/>
          <w:lang w:bidi="fa-IR"/>
        </w:rPr>
        <w:t xml:space="preserve"> is</w:t>
      </w:r>
      <w:r w:rsidRPr="003247D6">
        <w:rPr>
          <w:b/>
          <w:bCs/>
          <w:sz w:val="28"/>
          <w:szCs w:val="28"/>
          <w:vertAlign w:val="superscript"/>
        </w:rPr>
        <w:t xml:space="preserve"> </w:t>
      </w:r>
      <w:r w:rsidR="00844B6D">
        <w:rPr>
          <w:rFonts w:hint="cs"/>
          <w:b/>
          <w:bCs/>
          <w:sz w:val="28"/>
          <w:szCs w:val="28"/>
          <w:vertAlign w:val="superscript"/>
          <w:lang w:bidi="fa-IR"/>
        </w:rPr>
        <w:t>considered</w:t>
      </w:r>
      <w:r w:rsidRPr="003247D6">
        <w:rPr>
          <w:b/>
          <w:bCs/>
          <w:sz w:val="28"/>
          <w:szCs w:val="28"/>
          <w:vertAlign w:val="superscript"/>
        </w:rPr>
        <w:t xml:space="preserve"> as a promising tag in enhancing protein expression and solubility. Superfolder green fluorescent protein (sfGFP) is a mutant of wild-type GFP</w:t>
      </w:r>
      <w:r w:rsidR="00AB4E66">
        <w:rPr>
          <w:rFonts w:hint="cs"/>
          <w:b/>
          <w:bCs/>
          <w:sz w:val="28"/>
          <w:szCs w:val="28"/>
          <w:vertAlign w:val="superscript"/>
          <w:lang w:bidi="fa-IR"/>
        </w:rPr>
        <w:t xml:space="preserve">, and is able to </w:t>
      </w:r>
      <w:r w:rsidRPr="003247D6">
        <w:rPr>
          <w:b/>
          <w:bCs/>
          <w:sz w:val="28"/>
          <w:szCs w:val="28"/>
          <w:vertAlign w:val="superscript"/>
        </w:rPr>
        <w:t>enhance</w:t>
      </w:r>
      <w:r w:rsidR="00AB4E66">
        <w:rPr>
          <w:rFonts w:hint="cs"/>
          <w:b/>
          <w:bCs/>
          <w:sz w:val="28"/>
          <w:szCs w:val="28"/>
          <w:vertAlign w:val="superscript"/>
          <w:lang w:bidi="fa-IR"/>
        </w:rPr>
        <w:t xml:space="preserve"> </w:t>
      </w:r>
      <w:r w:rsidRPr="003247D6">
        <w:rPr>
          <w:b/>
          <w:bCs/>
          <w:sz w:val="28"/>
          <w:szCs w:val="28"/>
          <w:vertAlign w:val="superscript"/>
        </w:rPr>
        <w:t xml:space="preserve">solubility and improve </w:t>
      </w:r>
      <w:r w:rsidR="00B7040D">
        <w:rPr>
          <w:rFonts w:hint="cs"/>
          <w:b/>
          <w:bCs/>
          <w:sz w:val="28"/>
          <w:szCs w:val="28"/>
          <w:vertAlign w:val="superscript"/>
          <w:lang w:bidi="fa-IR"/>
        </w:rPr>
        <w:t>the f</w:t>
      </w:r>
      <w:r w:rsidRPr="003247D6">
        <w:rPr>
          <w:b/>
          <w:bCs/>
          <w:sz w:val="28"/>
          <w:szCs w:val="28"/>
          <w:vertAlign w:val="superscript"/>
        </w:rPr>
        <w:t>olding ability</w:t>
      </w:r>
      <w:r w:rsidR="00764C7D">
        <w:rPr>
          <w:rFonts w:hint="cs"/>
          <w:b/>
          <w:bCs/>
          <w:sz w:val="28"/>
          <w:szCs w:val="28"/>
          <w:vertAlign w:val="superscript"/>
          <w:lang w:bidi="fa-IR"/>
        </w:rPr>
        <w:t xml:space="preserve"> of a protein.</w:t>
      </w:r>
      <w:r w:rsidRPr="003247D6">
        <w:rPr>
          <w:b/>
          <w:bCs/>
          <w:sz w:val="28"/>
          <w:szCs w:val="28"/>
          <w:vertAlign w:val="superscript"/>
        </w:rPr>
        <w:t xml:space="preserve">  Thioredoxin (Trx) is a thermostable protein that catalyzes dithiol disulfide exchange reactions. GST facilitates both expression and purification, however it is generally considered as a poor solubility enhancer tag</w:t>
      </w:r>
      <w:r w:rsidR="00B7040D">
        <w:rPr>
          <w:rFonts w:hint="cs"/>
          <w:b/>
          <w:bCs/>
          <w:sz w:val="28"/>
          <w:szCs w:val="28"/>
          <w:vertAlign w:val="superscript"/>
          <w:lang w:bidi="fa-IR"/>
        </w:rPr>
        <w:t>.</w:t>
      </w:r>
      <w:r w:rsidRPr="003247D6">
        <w:rPr>
          <w:b/>
          <w:bCs/>
          <w:sz w:val="28"/>
          <w:szCs w:val="28"/>
          <w:vertAlign w:val="superscript"/>
        </w:rPr>
        <w:t xml:space="preserve"> N-utilization substance A (NusA), is a transcription termination/antitermination factor in </w:t>
      </w:r>
      <w:r w:rsidRPr="00AE4989">
        <w:rPr>
          <w:b/>
          <w:bCs/>
          <w:i/>
          <w:iCs/>
          <w:sz w:val="28"/>
          <w:szCs w:val="28"/>
          <w:vertAlign w:val="superscript"/>
        </w:rPr>
        <w:t>E. coli</w:t>
      </w:r>
      <w:r w:rsidRPr="003247D6">
        <w:rPr>
          <w:b/>
          <w:bCs/>
          <w:sz w:val="28"/>
          <w:szCs w:val="28"/>
          <w:vertAlign w:val="superscript"/>
        </w:rPr>
        <w:t xml:space="preserve">. Studies have demonstrated that </w:t>
      </w:r>
      <w:r w:rsidR="00AE4989">
        <w:rPr>
          <w:rFonts w:hint="cs"/>
          <w:b/>
          <w:bCs/>
          <w:sz w:val="28"/>
          <w:szCs w:val="28"/>
          <w:vertAlign w:val="superscript"/>
          <w:lang w:bidi="fa-IR"/>
        </w:rPr>
        <w:t xml:space="preserve">NusA </w:t>
      </w:r>
      <w:r w:rsidRPr="003247D6">
        <w:rPr>
          <w:b/>
          <w:bCs/>
          <w:sz w:val="28"/>
          <w:szCs w:val="28"/>
          <w:vertAlign w:val="superscript"/>
        </w:rPr>
        <w:t>could effectively enhance solubility for a diverse set of targets proteins. Ultimately, TISIGNER will be briefly introduced as an online website for predicting protein solubility and expression levels.</w:t>
      </w:r>
    </w:p>
    <w:p w:rsidR="00CB1911" w:rsidRPr="003247D6" w:rsidRDefault="003247D6" w:rsidP="009E5B2A">
      <w:pPr>
        <w:tabs>
          <w:tab w:val="left" w:pos="3744"/>
        </w:tabs>
        <w:rPr>
          <w:b/>
          <w:bCs/>
          <w:sz w:val="28"/>
          <w:szCs w:val="28"/>
          <w:vertAlign w:val="superscript"/>
        </w:rPr>
      </w:pPr>
      <w:r w:rsidRPr="003247D6">
        <w:rPr>
          <w:b/>
          <w:bCs/>
          <w:sz w:val="28"/>
          <w:szCs w:val="28"/>
          <w:vertAlign w:val="superscript"/>
        </w:rPr>
        <w:t xml:space="preserve">Keys words: </w:t>
      </w:r>
      <w:r w:rsidR="009E5B2A">
        <w:rPr>
          <w:b/>
          <w:bCs/>
          <w:sz w:val="28"/>
          <w:szCs w:val="28"/>
          <w:vertAlign w:val="superscript"/>
        </w:rPr>
        <w:t xml:space="preserve"> </w:t>
      </w:r>
      <w:r w:rsidRPr="003247D6">
        <w:rPr>
          <w:b/>
          <w:bCs/>
          <w:sz w:val="28"/>
          <w:szCs w:val="28"/>
          <w:vertAlign w:val="superscript"/>
        </w:rPr>
        <w:t>Fusion protein, SUMO, MBP, TRX, Fh</w:t>
      </w:r>
      <w:r>
        <w:rPr>
          <w:b/>
          <w:bCs/>
          <w:sz w:val="28"/>
          <w:szCs w:val="28"/>
          <w:vertAlign w:val="superscript"/>
        </w:rPr>
        <w:t>8</w:t>
      </w:r>
    </w:p>
    <w:sectPr w:rsidR="00CB1911" w:rsidRPr="0032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notTrueType/>
    <w:pitch w:val="default"/>
  </w:font>
  <w:font w:name="Calibri-Bold">
    <w:altName w:val="Times New Roman"/>
    <w:charset w:val="00"/>
    <w:family w:val="roman"/>
    <w:notTrueType/>
    <w:pitch w:val="default"/>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B68"/>
    <w:multiLevelType w:val="hybridMultilevel"/>
    <w:tmpl w:val="4EB27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0051"/>
    <w:multiLevelType w:val="hybridMultilevel"/>
    <w:tmpl w:val="F16E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93508">
    <w:abstractNumId w:val="0"/>
  </w:num>
  <w:num w:numId="2" w16cid:durableId="69358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ctiveWritingStyle w:appName="MSWord" w:lang="en-US" w:vendorID="64" w:dllVersion="6" w:nlCheck="1" w:checkStyle="0"/>
  <w:activeWritingStyle w:appName="MSWord" w:lang="en-US" w:vendorID="64" w:dllVersion="4096" w:nlCheck="1" w:checkStyle="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11"/>
    <w:rsid w:val="0001774E"/>
    <w:rsid w:val="000F470A"/>
    <w:rsid w:val="0012038A"/>
    <w:rsid w:val="001E27DE"/>
    <w:rsid w:val="002D52CB"/>
    <w:rsid w:val="003247D6"/>
    <w:rsid w:val="003C06DA"/>
    <w:rsid w:val="003C692C"/>
    <w:rsid w:val="004C39F8"/>
    <w:rsid w:val="005223B4"/>
    <w:rsid w:val="005E2DF5"/>
    <w:rsid w:val="006336C5"/>
    <w:rsid w:val="00635313"/>
    <w:rsid w:val="00764C7D"/>
    <w:rsid w:val="00844B6D"/>
    <w:rsid w:val="008801B8"/>
    <w:rsid w:val="009E5B2A"/>
    <w:rsid w:val="00AB4E66"/>
    <w:rsid w:val="00AD7F16"/>
    <w:rsid w:val="00AE4989"/>
    <w:rsid w:val="00B7040D"/>
    <w:rsid w:val="00BE08A4"/>
    <w:rsid w:val="00C96BEC"/>
    <w:rsid w:val="00CB1911"/>
    <w:rsid w:val="00D17114"/>
    <w:rsid w:val="00E839EC"/>
    <w:rsid w:val="00EA3ED1"/>
    <w:rsid w:val="00EE0612"/>
    <w:rsid w:val="00FC6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466A"/>
  <w15:chartTrackingRefBased/>
  <w15:docId w15:val="{7CC8D051-D79A-4786-9799-D37BE46A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1911"/>
    <w:rPr>
      <w:sz w:val="16"/>
      <w:szCs w:val="16"/>
    </w:rPr>
  </w:style>
  <w:style w:type="paragraph" w:styleId="CommentText">
    <w:name w:val="annotation text"/>
    <w:basedOn w:val="Normal"/>
    <w:link w:val="CommentTextChar"/>
    <w:uiPriority w:val="99"/>
    <w:semiHidden/>
    <w:unhideWhenUsed/>
    <w:rsid w:val="00CB1911"/>
    <w:pPr>
      <w:spacing w:line="240" w:lineRule="auto"/>
    </w:pPr>
    <w:rPr>
      <w:sz w:val="20"/>
      <w:szCs w:val="20"/>
    </w:rPr>
  </w:style>
  <w:style w:type="character" w:customStyle="1" w:styleId="CommentTextChar">
    <w:name w:val="Comment Text Char"/>
    <w:basedOn w:val="DefaultParagraphFont"/>
    <w:link w:val="CommentText"/>
    <w:uiPriority w:val="99"/>
    <w:semiHidden/>
    <w:rsid w:val="00CB1911"/>
    <w:rPr>
      <w:sz w:val="20"/>
      <w:szCs w:val="20"/>
    </w:rPr>
  </w:style>
  <w:style w:type="paragraph" w:styleId="CommentSubject">
    <w:name w:val="annotation subject"/>
    <w:basedOn w:val="CommentText"/>
    <w:next w:val="CommentText"/>
    <w:link w:val="CommentSubjectChar"/>
    <w:uiPriority w:val="99"/>
    <w:semiHidden/>
    <w:unhideWhenUsed/>
    <w:rsid w:val="00CB1911"/>
    <w:rPr>
      <w:b/>
      <w:bCs/>
    </w:rPr>
  </w:style>
  <w:style w:type="character" w:customStyle="1" w:styleId="CommentSubjectChar">
    <w:name w:val="Comment Subject Char"/>
    <w:basedOn w:val="CommentTextChar"/>
    <w:link w:val="CommentSubject"/>
    <w:uiPriority w:val="99"/>
    <w:semiHidden/>
    <w:rsid w:val="00CB1911"/>
    <w:rPr>
      <w:b/>
      <w:bCs/>
      <w:sz w:val="20"/>
      <w:szCs w:val="20"/>
    </w:rPr>
  </w:style>
  <w:style w:type="paragraph" w:styleId="BalloonText">
    <w:name w:val="Balloon Text"/>
    <w:basedOn w:val="Normal"/>
    <w:link w:val="BalloonTextChar"/>
    <w:uiPriority w:val="99"/>
    <w:semiHidden/>
    <w:unhideWhenUsed/>
    <w:rsid w:val="00CB1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911"/>
    <w:rPr>
      <w:rFonts w:ascii="Segoe UI" w:hAnsi="Segoe UI" w:cs="Segoe UI"/>
      <w:sz w:val="18"/>
      <w:szCs w:val="18"/>
    </w:rPr>
  </w:style>
  <w:style w:type="paragraph" w:styleId="ListParagraph">
    <w:name w:val="List Paragraph"/>
    <w:basedOn w:val="Normal"/>
    <w:uiPriority w:val="34"/>
    <w:qFormat/>
    <w:rsid w:val="00CB1911"/>
    <w:pPr>
      <w:ind w:left="720"/>
      <w:contextualSpacing/>
    </w:pPr>
  </w:style>
  <w:style w:type="character" w:customStyle="1" w:styleId="fontstyle01">
    <w:name w:val="fontstyle01"/>
    <w:basedOn w:val="DefaultParagraphFont"/>
    <w:rsid w:val="002D52CB"/>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2D52CB"/>
    <w:rPr>
      <w:rFonts w:ascii="ArialMT" w:hAnsi="ArialMT" w:hint="default"/>
      <w:b w:val="0"/>
      <w:bCs w:val="0"/>
      <w:i w:val="0"/>
      <w:iCs w:val="0"/>
      <w:color w:val="000000"/>
      <w:sz w:val="24"/>
      <w:szCs w:val="24"/>
    </w:rPr>
  </w:style>
  <w:style w:type="character" w:customStyle="1" w:styleId="fontstyle31">
    <w:name w:val="fontstyle31"/>
    <w:basedOn w:val="DefaultParagraphFont"/>
    <w:rsid w:val="002D52CB"/>
    <w:rPr>
      <w:rFonts w:ascii="Calibri-Bold" w:hAnsi="Calibr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Arefeh Seyedarabi</cp:lastModifiedBy>
  <cp:revision>2</cp:revision>
  <dcterms:created xsi:type="dcterms:W3CDTF">2023-06-03T17:46:00Z</dcterms:created>
  <dcterms:modified xsi:type="dcterms:W3CDTF">2023-06-03T17:46:00Z</dcterms:modified>
</cp:coreProperties>
</file>